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17"/>
        <w:ind w:left="0"/>
        <w:jc w:val="center"/>
        <w:rPr>
          <w:rFonts w:ascii="方正小标宋_GBK" w:eastAsia="方正小标宋_GBK" w:cs="方正小标宋_GBK" w:hint="eastAsia"/>
          <w:color w:val="auto"/>
          <w:sz w:val="44"/>
          <w:szCs w:val="44"/>
          <w:lang w:bidi="ar-SA"/>
        </w:rPr>
      </w:pPr>
      <w:r>
        <w:rPr>
          <w:rFonts w:ascii="方正小标宋_GBK" w:eastAsia="方正小标宋_GBK" w:cs="方正小标宋_GBK" w:hint="eastAsia"/>
          <w:color w:val="auto"/>
          <w:sz w:val="44"/>
          <w:szCs w:val="44"/>
          <w:lang w:bidi="ar-SA"/>
        </w:rPr>
        <w:t>包头海关2024年政府信息公开工作年度报告</w:t>
      </w:r>
    </w:p>
    <w:p>
      <w:pPr>
        <w:pStyle w:val="313"/>
        <w:adjustRightInd w:val="0"/>
        <w:snapToGrid w:val="0"/>
        <w:spacing w:line="560" w:lineRule="exact"/>
        <w:ind w:firstLineChars="200" w:firstLine="640"/>
        <w:rPr>
          <w:szCs w:val="32"/>
        </w:rPr>
      </w:pPr>
    </w:p>
    <w:p>
      <w:pPr>
        <w:pStyle w:val="313"/>
        <w:adjustRightInd w:val="0"/>
        <w:snapToGrid w:val="0"/>
        <w:spacing w:line="560" w:lineRule="exact"/>
        <w:ind w:firstLineChars="200" w:firstLine="640"/>
        <w:rPr>
          <w:rFonts w:ascii="方正小标宋_GBK" w:eastAsia="方正小标宋_GBK" w:cs="方正小标宋_GBK" w:hint="eastAsia"/>
          <w:sz w:val="44"/>
          <w:szCs w:val="44"/>
          <w:lang w:bidi="ar-SA"/>
        </w:rPr>
      </w:pPr>
      <w:r>
        <w:rPr>
          <w:rFonts w:hint="eastAsia"/>
          <w:szCs w:val="32"/>
        </w:rPr>
        <w:t>本报告根据《中华人民共和国政府信息公开条例》《国务院办公厅政府信息与政务公开办公室关于印发&lt;中华人民共和国政府信息公开工作年度报告格式&gt;的通知》（国办公开办函〔</w:t>
      </w:r>
      <w:r>
        <w:rPr>
          <w:szCs w:val="32"/>
        </w:rPr>
        <w:t>2021〕30号）等有关规定编制。报告中所列数据的统计期限自2024年1月1日起至2024年12月31日止。如对本报告有任何疑问，请与包头海关办公室联系（地址：内蒙古自治区包头市稀土高新区黄河大街81号包头海关，邮政编码：014030，联系电话：0472-2745114，电子信箱：btlizimeng@customs.gov.cn）。</w:t>
      </w:r>
    </w:p>
    <w:p>
      <w:pPr>
        <w:pStyle w:val="8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color w:val="auto"/>
          <w:sz w:val="32"/>
          <w:szCs w:val="32"/>
          <w:lang w:bidi="ar-SA"/>
        </w:rPr>
      </w:pPr>
      <w:r>
        <w:rPr>
          <w:rFonts w:ascii="方正黑体_GBK" w:eastAsia="方正黑体_GBK" w:cs="楷体_GB2312" w:hint="eastAsia"/>
          <w:bCs/>
          <w:color w:val="auto"/>
          <w:sz w:val="32"/>
          <w:szCs w:val="32"/>
          <w:shd w:val="clear" w:color="auto" w:fill="FFFFFF"/>
          <w:lang w:bidi="ar-SA"/>
        </w:rPr>
        <w:t>一、总体情况</w:t>
      </w:r>
    </w:p>
    <w:p>
      <w:pPr>
        <w:pStyle w:val="118"/>
        <w:adjustRightInd w:val="0"/>
        <w:snapToGrid w:val="0"/>
        <w:spacing w:line="560" w:lineRule="exact"/>
        <w:ind w:firstLineChars="200" w:firstLine="640"/>
        <w:rPr>
          <w:rFonts w:ascii="方正仿宋_GBK" w:hint="eastAsia"/>
          <w:szCs w:val="32"/>
        </w:rPr>
      </w:pPr>
      <w:r>
        <w:rPr>
          <w:bCs/>
          <w:szCs w:val="32"/>
        </w:rPr>
        <w:t>2024年，包头海关深入学习贯彻习近平新时代中国特色社会主义思想，</w:t>
      </w:r>
      <w:r>
        <w:rPr>
          <w:rFonts w:hint="eastAsia"/>
          <w:bCs/>
          <w:szCs w:val="32"/>
        </w:rPr>
        <w:t>按照</w:t>
      </w:r>
      <w:r>
        <w:rPr>
          <w:bCs/>
          <w:szCs w:val="32"/>
        </w:rPr>
        <w:t>《中华人民共和国政府信息公开条例》和海关总</w:t>
      </w:r>
      <w:r>
        <w:rPr>
          <w:rFonts w:hint="eastAsia"/>
          <w:bCs/>
          <w:szCs w:val="32"/>
        </w:rPr>
        <w:t>署、</w:t>
      </w:r>
      <w:r>
        <w:rPr>
          <w:bCs/>
          <w:szCs w:val="32"/>
        </w:rPr>
        <w:t>呼和浩特海关</w:t>
      </w:r>
      <w:r>
        <w:rPr>
          <w:rFonts w:hint="eastAsia"/>
          <w:bCs/>
          <w:szCs w:val="32"/>
        </w:rPr>
        <w:t>政务公开工作</w:t>
      </w:r>
      <w:r>
        <w:rPr>
          <w:bCs/>
          <w:szCs w:val="32"/>
        </w:rPr>
        <w:t>要求</w:t>
      </w:r>
      <w:r>
        <w:rPr>
          <w:rFonts w:hint="eastAsia"/>
          <w:bCs/>
          <w:szCs w:val="32"/>
        </w:rPr>
        <w:t>，结合</w:t>
      </w:r>
      <w:r>
        <w:rPr>
          <w:bCs/>
          <w:szCs w:val="32"/>
        </w:rPr>
        <w:t>工作</w:t>
      </w:r>
      <w:r>
        <w:rPr>
          <w:rFonts w:hint="eastAsia"/>
          <w:bCs/>
          <w:szCs w:val="32"/>
        </w:rPr>
        <w:t>实际，进一步强化职责落实，</w:t>
      </w:r>
      <w:r>
        <w:rPr>
          <w:bCs/>
          <w:szCs w:val="32"/>
          <w:lang w:val="zh-CN" w:eastAsia="zh-CN"/>
        </w:rPr>
        <w:t>规范公开内容</w:t>
      </w:r>
      <w:r>
        <w:rPr>
          <w:rFonts w:hint="eastAsia"/>
          <w:bCs/>
          <w:szCs w:val="32"/>
          <w:lang w:val="zh-CN" w:eastAsia="zh-CN"/>
        </w:rPr>
        <w:t>，</w:t>
      </w:r>
      <w:r>
        <w:rPr>
          <w:rFonts w:ascii="Times New Roman" w:eastAsia="方正仿宋_GBK" w:cs="Times New Roman" w:hAnsi="Times New Roman"/>
          <w:bCs/>
          <w:sz w:val="32"/>
          <w:szCs w:val="32"/>
          <w:lang w:bidi="ar-SA"/>
        </w:rPr>
        <w:t>着力提升政府信息公开的质量和水平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bidi="ar-SA"/>
        </w:rPr>
        <w:t>。</w:t>
      </w:r>
    </w:p>
    <w:p>
      <w:pPr>
        <w:pStyle w:val="119"/>
        <w:autoSpaceDN w:val="0"/>
        <w:adjustRightInd w:val="0"/>
        <w:snapToGrid w:val="0"/>
        <w:spacing w:line="560" w:lineRule="exact"/>
        <w:ind w:firstLineChars="200" w:firstLine="640"/>
        <w:rPr>
          <w:rFonts w:ascii="方正楷体_GBK" w:eastAsia="方正楷体_GBK" w:hint="eastAsia"/>
          <w:b/>
          <w:bCs/>
        </w:rPr>
      </w:pPr>
      <w:r>
        <w:rPr>
          <w:rFonts w:ascii="方正楷体_GBK" w:eastAsia="方正楷体_GBK" w:hint="eastAsia"/>
          <w:b/>
          <w:bCs/>
        </w:rPr>
        <w:t>（一）严格落实职能职责，推进政务公开规范化。</w:t>
      </w:r>
    </w:p>
    <w:p>
      <w:pPr>
        <w:pStyle w:val="120"/>
        <w:adjustRightInd w:val="0"/>
        <w:snapToGrid w:val="0"/>
        <w:spacing w:line="560" w:lineRule="exact"/>
        <w:ind w:firstLineChars="200" w:firstLine="640"/>
        <w:rPr>
          <w:rFonts w:ascii="方正楷体_GBK" w:eastAsia="方正楷体_GBK" w:hint="eastAsia"/>
          <w:szCs w:val="32"/>
        </w:rPr>
      </w:pPr>
      <w:r>
        <w:rPr>
          <w:rFonts w:ascii="方正仿宋_GBK" w:hint="eastAsia"/>
          <w:szCs w:val="32"/>
        </w:rPr>
        <w:t>加强组织领导，多次召开政务公开工作会议，研究落实推进政务公开工作措施。贯彻落实《中华人民共和国政府信息公开条例》，</w:t>
      </w:r>
      <w:r>
        <w:t>细化更新</w:t>
      </w:r>
      <w:r>
        <w:rPr>
          <w:rFonts w:ascii="方正仿宋_GBK" w:hint="eastAsia"/>
          <w:szCs w:val="32"/>
        </w:rPr>
        <w:t>了《包头海关政府信息公开申请答复书目录》</w:t>
      </w:r>
      <w:r>
        <w:rPr>
          <w:rFonts w:ascii="方正仿宋_GBK" w:cs="宋体" w:hint="eastAsia"/>
          <w:szCs w:val="32"/>
          <w:lang w:bidi="ar-SA"/>
        </w:rPr>
        <w:t>以及重点业务办事指南、办事机构联系方式等，</w:t>
      </w:r>
      <w:r>
        <w:rPr>
          <w:rFonts w:ascii="方正仿宋_GBK" w:hint="eastAsia"/>
          <w:color w:val="000000"/>
          <w:szCs w:val="32"/>
        </w:rPr>
        <w:t>明确政府信息公开内容、工作职责和办理时限流程</w:t>
      </w:r>
      <w:r>
        <w:rPr>
          <w:rFonts w:ascii="方正仿宋_GBK" w:cs="宋体" w:hint="eastAsia"/>
          <w:szCs w:val="32"/>
          <w:lang w:bidi="ar-SA"/>
        </w:rPr>
        <w:t>。</w:t>
      </w:r>
      <w:r>
        <w:rPr>
          <w:rFonts w:ascii="方正仿宋_GBK" w:hint="eastAsia"/>
          <w:lang w:val="zh-CN" w:eastAsia="zh-CN"/>
        </w:rPr>
        <w:t>强化政务公开工作保障</w:t>
      </w:r>
      <w:r>
        <w:rPr>
          <w:rFonts w:ascii="方正仿宋_GBK" w:hint="eastAsia"/>
          <w:szCs w:val="32"/>
          <w:lang w:val="zh-CN" w:eastAsia="zh-CN"/>
        </w:rPr>
        <w:t>，配齐配强政务公开岗位人员，</w:t>
      </w:r>
      <w:r>
        <w:rPr>
          <w:rFonts w:ascii="方正仿宋_GBK" w:hint="eastAsia"/>
          <w:szCs w:val="32"/>
        </w:rPr>
        <w:t>严格执行三级审核信息发布机制，把好政治关、法律关、政策关、保密关、文字关，</w:t>
      </w:r>
      <w:r>
        <w:rPr>
          <w:rFonts w:hint="eastAsia"/>
        </w:rPr>
        <w:t>确保信息公开及时高效、内容准确。</w:t>
      </w:r>
      <w:r>
        <w:rPr>
          <w:rFonts w:ascii="方正仿宋_GBK" w:eastAsia="方正仿宋_GBK" w:hint="eastAsia"/>
          <w:sz w:val="32"/>
          <w:szCs w:val="32"/>
        </w:rPr>
        <w:t>全年公开</w:t>
      </w:r>
      <w:r>
        <w:rPr>
          <w:rFonts w:ascii="方正仿宋_GBK" w:eastAsia="方正仿宋_GBK"/>
          <w:sz w:val="32"/>
          <w:szCs w:val="32"/>
        </w:rPr>
        <w:t>政府采购</w:t>
      </w:r>
      <w:r>
        <w:rPr>
          <w:szCs w:val="32"/>
        </w:rPr>
        <w:t>20</w:t>
      </w:r>
      <w:r>
        <w:rPr>
          <w:rFonts w:ascii="方正仿宋_GBK" w:eastAsia="方正仿宋_GBK"/>
          <w:sz w:val="32"/>
          <w:szCs w:val="32"/>
        </w:rPr>
        <w:t>条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“</w:t>
      </w:r>
      <w:r>
        <w:rPr>
          <w:rFonts w:ascii="方正仿宋_GBK" w:eastAsia="方正仿宋_GBK" w:hint="eastAsia"/>
          <w:sz w:val="32"/>
          <w:szCs w:val="32"/>
        </w:rPr>
        <w:t>双随机</w:t>
      </w:r>
      <w:r>
        <w:rPr>
          <w:rFonts w:ascii="方正仿宋_GBK" w:eastAsia="方正仿宋_GBK"/>
          <w:sz w:val="32"/>
          <w:szCs w:val="32"/>
        </w:rPr>
        <w:t>、</w:t>
      </w:r>
      <w:r>
        <w:rPr>
          <w:rFonts w:ascii="方正仿宋_GBK" w:eastAsia="方正仿宋_GBK" w:hint="eastAsia"/>
          <w:sz w:val="32"/>
          <w:szCs w:val="32"/>
        </w:rPr>
        <w:t>一公开”</w:t>
      </w:r>
      <w:r>
        <w:rPr>
          <w:rFonts w:ascii="Times New Roman" w:eastAsia="方正仿宋_GBK" w:hAnsi="Times New Roman"/>
          <w:sz w:val="32"/>
          <w:szCs w:val="32"/>
        </w:rPr>
        <w:t>69</w:t>
      </w:r>
      <w:r>
        <w:rPr>
          <w:rFonts w:ascii="方正仿宋_GBK" w:eastAsia="方正仿宋_GBK" w:hint="eastAsia"/>
          <w:sz w:val="32"/>
          <w:szCs w:val="32"/>
        </w:rPr>
        <w:t>条、预决算</w:t>
      </w:r>
      <w:r>
        <w:rPr>
          <w:rFonts w:ascii="方正仿宋_GBK" w:eastAsia="方正仿宋_GBK"/>
          <w:sz w:val="32"/>
          <w:szCs w:val="32"/>
        </w:rPr>
        <w:t>信息</w:t>
      </w:r>
      <w:r>
        <w:rPr>
          <w:rFonts w:ascii="Times New Roman" w:eastAsia="方正仿宋_GBK" w:hAnsi="Times New Roman"/>
          <w:sz w:val="32"/>
          <w:szCs w:val="32"/>
        </w:rPr>
        <w:t>5</w:t>
      </w:r>
      <w:r>
        <w:rPr>
          <w:rFonts w:ascii="方正仿宋_GBK" w:eastAsia="方正仿宋_GBK" w:hint="eastAsia"/>
          <w:sz w:val="32"/>
          <w:szCs w:val="32"/>
        </w:rPr>
        <w:t>条、通知公告</w:t>
      </w:r>
      <w:r>
        <w:rPr>
          <w:rFonts w:eastAsia="方正仿宋_GBK"/>
          <w:sz w:val="32"/>
          <w:szCs w:val="32"/>
        </w:rPr>
        <w:t>12</w:t>
      </w:r>
      <w:r>
        <w:rPr>
          <w:rFonts w:ascii="方正仿宋_GBK" w:eastAsia="方正仿宋_GBK" w:hint="eastAsia"/>
          <w:sz w:val="32"/>
          <w:szCs w:val="32"/>
        </w:rPr>
        <w:t>条、行政执法年报</w:t>
      </w:r>
      <w:r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方正仿宋_GBK" w:eastAsia="方正仿宋_GBK"/>
          <w:sz w:val="32"/>
          <w:szCs w:val="32"/>
        </w:rPr>
        <w:t>份</w:t>
      </w:r>
      <w:r>
        <w:rPr>
          <w:rFonts w:ascii="方正仿宋_GBK" w:eastAsia="方正仿宋_GBK" w:hint="eastAsia"/>
          <w:sz w:val="32"/>
          <w:szCs w:val="32"/>
        </w:rPr>
        <w:t>、政府信息公开年报</w:t>
      </w:r>
      <w:r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方正仿宋_GBK" w:eastAsia="方正仿宋_GBK"/>
          <w:sz w:val="32"/>
          <w:szCs w:val="32"/>
        </w:rPr>
        <w:t>份</w:t>
      </w:r>
      <w:r>
        <w:rPr>
          <w:rFonts w:ascii="方正仿宋_GBK" w:eastAsia="方正仿宋_GBK" w:hint="eastAsia"/>
          <w:sz w:val="32"/>
          <w:szCs w:val="32"/>
        </w:rPr>
        <w:t>。全年受理市长热线</w:t>
      </w:r>
      <w:r>
        <w:rPr>
          <w:rFonts w:eastAsia="方正仿宋_GBK"/>
          <w:sz w:val="32"/>
          <w:szCs w:val="32"/>
        </w:rPr>
        <w:t>10</w:t>
      </w:r>
      <w:r>
        <w:rPr>
          <w:rFonts w:ascii="方正仿宋_GBK" w:eastAsia="方正仿宋_GBK" w:hint="eastAsia"/>
          <w:sz w:val="32"/>
          <w:szCs w:val="32"/>
        </w:rPr>
        <w:t>件，做到了件件有落实，事事有回音，办结率</w:t>
      </w:r>
      <w:r>
        <w:rPr>
          <w:rFonts w:eastAsia="方正仿宋_GBK"/>
          <w:sz w:val="32"/>
          <w:szCs w:val="32"/>
        </w:rPr>
        <w:t>100%</w:t>
      </w:r>
      <w:r>
        <w:rPr>
          <w:rFonts w:ascii="方正仿宋_GBK" w:eastAsia="方正仿宋_GBK" w:hint="eastAsia"/>
          <w:sz w:val="32"/>
          <w:szCs w:val="32"/>
        </w:rPr>
        <w:t>。</w:t>
      </w:r>
    </w:p>
    <w:p>
      <w:pPr>
        <w:pStyle w:val="121"/>
        <w:widowControl/>
        <w:spacing w:line="560" w:lineRule="exact"/>
        <w:ind w:firstLineChars="200" w:firstLine="640"/>
        <w:rPr>
          <w:rFonts w:ascii="方正楷体_GBK" w:eastAsia="方正楷体_GBK" w:hint="eastAsia"/>
          <w:b/>
          <w:bCs/>
          <w:spacing w:val="0"/>
          <w:kern w:val="2"/>
          <w:sz w:val="32"/>
          <w:szCs w:val="32"/>
          <w:lang w:bidi="mn-Mong-CN"/>
        </w:rPr>
      </w:pPr>
      <w:r>
        <w:rPr>
          <w:rFonts w:ascii="方正楷体_GBK" w:eastAsia="方正楷体_GBK" w:hint="eastAsia"/>
          <w:b/>
          <w:bCs/>
          <w:spacing w:val="0"/>
          <w:kern w:val="2"/>
          <w:sz w:val="32"/>
          <w:szCs w:val="32"/>
          <w:lang w:bidi="mn-Mong-CN"/>
        </w:rPr>
        <w:t>（二）持续深化公开力度，实现线上线下全覆盖。</w:t>
      </w:r>
    </w:p>
    <w:p>
      <w:pPr>
        <w:pStyle w:val="122"/>
        <w:adjustRightInd w:val="0"/>
        <w:snapToGrid w:val="0"/>
        <w:ind w:firstLineChars="200" w:firstLine="624"/>
        <w:rPr>
          <w:bCs/>
          <w:lang w:val="zh-CN" w:eastAsia="zh-CN"/>
        </w:rPr>
      </w:pPr>
      <w:r>
        <w:rPr>
          <w:bCs/>
          <w:sz w:val="32"/>
          <w:szCs w:val="32"/>
          <w:lang w:val="zh-CN" w:eastAsia="zh-CN"/>
        </w:rPr>
        <w:t>通过普法宣传、开展座谈会、深入企业调研宣讲、现场发放宣传册等形式，</w:t>
      </w:r>
      <w:r>
        <w:rPr>
          <w:rFonts w:ascii="方正仿宋_GBK" w:hint="eastAsia"/>
          <w:lang w:val="zh-CN" w:eastAsia="zh-CN"/>
        </w:rPr>
        <w:t>主动宣传解读海关法规政策，及时回应社会关切。完善线下平台建设，</w:t>
      </w:r>
      <w:r>
        <w:rPr>
          <w:bCs/>
          <w:sz w:val="32"/>
          <w:szCs w:val="32"/>
          <w:lang w:val="zh-CN" w:eastAsia="zh-CN"/>
        </w:rPr>
        <w:t>在报关大厅现场设置公示栏、电子屏、查阅点等，同时配置电脑、打印复印机和各类指示牌、办事指南，日常及时更新公告文书及执法人员信息，为办事企业和群众提供全天候便利政务服务。在服务窗口设有AEO、RCEP等业务办理专窗，设置党员示范岗，严格落实首问负责制、一次性告知等工作制度。加强线上平台管理，充分发挥门户网站政务公开第一平台作用，及时主动公开各类服务信息，确保工作成果惠及于民。同时加强政务公开专用邮箱管理，确保第一时间回应企业和群众的办事需求。</w:t>
      </w:r>
    </w:p>
    <w:p>
      <w:pPr>
        <w:pStyle w:val="123"/>
        <w:autoSpaceDN w:val="0"/>
        <w:spacing w:line="560" w:lineRule="exact"/>
        <w:ind w:firstLineChars="200" w:firstLine="640"/>
        <w:rPr>
          <w:rFonts w:ascii="方正楷体_GBK" w:eastAsia="方正楷体_GBK" w:hint="eastAsia"/>
          <w:b/>
          <w:bCs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（三）突出亮点特色，提升信息公开质量。</w:t>
      </w:r>
    </w:p>
    <w:p>
      <w:pPr>
        <w:pStyle w:val="124"/>
        <w:adjustRightInd w:val="0"/>
        <w:snapToGrid w:val="0"/>
        <w:spacing w:line="560" w:lineRule="exact"/>
        <w:ind w:firstLineChars="200" w:firstLine="640"/>
        <w:contextualSpacing w:val="0"/>
        <w:jc w:val="both"/>
        <w:rPr>
          <w:rFonts w:ascii="Times New Roman" w:eastAsia="方正仿宋_GBK" w:cs="Arial" w:hAnsi="Times New Roman" w:hint="eastAsia"/>
          <w:sz w:val="32"/>
          <w:szCs w:val="32"/>
          <w:lang w:bidi="ar-SA"/>
        </w:rPr>
      </w:pPr>
      <w:r>
        <w:rPr>
          <w:rFonts w:ascii="Times New Roman" w:eastAsia="方正仿宋_GBK" w:hAnsi="Times New Roman" w:hint="eastAsia"/>
          <w:bCs/>
          <w:sz w:val="32"/>
          <w:szCs w:val="32"/>
          <w:lang w:val="zh-CN" w:eastAsia="zh-CN"/>
        </w:rPr>
        <w:t>践行“人民海关为人民”理念</w:t>
      </w:r>
      <w:r>
        <w:rPr>
          <w:rFonts w:ascii="Times New Roman" w:eastAsia="方正仿宋_GBK" w:hAnsi="Times New Roman"/>
          <w:bCs/>
          <w:sz w:val="32"/>
          <w:szCs w:val="32"/>
          <w:lang w:val="zh-CN" w:eastAsia="zh-CN"/>
        </w:rPr>
        <w:t>，</w:t>
      </w:r>
      <w:r>
        <w:rPr>
          <w:rFonts w:ascii="Times New Roman" w:eastAsia="方正仿宋_GBK" w:hAnsi="Times New Roman" w:hint="eastAsia"/>
          <w:sz w:val="32"/>
          <w:szCs w:val="32"/>
          <w:lang w:val="zh-CN" w:eastAsia="zh-CN"/>
        </w:rPr>
        <w:t>深化</w:t>
      </w:r>
      <w:r>
        <w:rPr>
          <w:rFonts w:ascii="Times New Roman" w:eastAsia="方正仿宋_GBK" w:hAnsi="Times New Roman" w:hint="eastAsia"/>
          <w:bCs/>
          <w:sz w:val="32"/>
          <w:szCs w:val="32"/>
          <w:lang w:val="zh-CN" w:eastAsia="zh-CN"/>
        </w:rPr>
        <w:t>“一路关助，包你满意”品牌建设</w:t>
      </w:r>
      <w:r>
        <w:rPr>
          <w:rFonts w:ascii="Times New Roman" w:eastAsia="方正仿宋_GBK" w:hAnsi="Times New Roman" w:hint="eastAsia"/>
          <w:sz w:val="32"/>
          <w:szCs w:val="32"/>
          <w:lang w:val="zh-CN" w:eastAsia="zh-CN"/>
        </w:rPr>
        <w:t>，</w:t>
      </w:r>
      <w:r>
        <w:rPr>
          <w:rFonts w:ascii="Times New Roman" w:eastAsia="方正仿宋_GBK" w:hAnsi="Times New Roman" w:hint="eastAsia"/>
          <w:bCs/>
          <w:sz w:val="32"/>
          <w:szCs w:val="32"/>
          <w:lang w:val="zh-CN" w:eastAsia="zh-CN"/>
        </w:rPr>
        <w:t>主动聚焦企业</w:t>
      </w:r>
      <w:r>
        <w:rPr>
          <w:rFonts w:ascii="Times New Roman" w:eastAsia="方正仿宋_GBK" w:hAnsi="Times New Roman"/>
          <w:bCs/>
          <w:sz w:val="32"/>
          <w:szCs w:val="32"/>
          <w:lang w:val="zh-CN" w:eastAsia="zh-CN"/>
        </w:rPr>
        <w:t>和群众</w:t>
      </w:r>
      <w:r>
        <w:rPr>
          <w:rFonts w:ascii="Times New Roman" w:eastAsia="方正仿宋_GBK" w:hAnsi="Times New Roman" w:hint="eastAsia"/>
          <w:bCs/>
          <w:sz w:val="32"/>
          <w:szCs w:val="32"/>
          <w:lang w:val="zh-CN" w:eastAsia="zh-CN"/>
        </w:rPr>
        <w:t>实际需求，</w:t>
      </w:r>
      <w:r>
        <w:rPr>
          <w:rFonts w:ascii="Times New Roman" w:eastAsia="方正仿宋_GBK" w:hAnsi="Times New Roman"/>
          <w:bCs/>
          <w:sz w:val="32"/>
          <w:szCs w:val="32"/>
          <w:lang w:val="zh-CN" w:eastAsia="zh-CN"/>
        </w:rPr>
        <w:t>在</w:t>
      </w:r>
      <w:r>
        <w:rPr>
          <w:rFonts w:ascii="Times New Roman" w:eastAsia="方正仿宋_GBK" w:hAnsi="Times New Roman" w:hint="eastAsia"/>
          <w:sz w:val="32"/>
          <w:szCs w:val="32"/>
          <w:lang w:val="zh-CN" w:eastAsia="zh-CN"/>
        </w:rPr>
        <w:t>业务大厅</w:t>
      </w:r>
      <w:r>
        <w:rPr>
          <w:rFonts w:ascii="Times New Roman" w:eastAsia="方正仿宋_GBK" w:hAnsi="Times New Roman"/>
          <w:sz w:val="32"/>
          <w:szCs w:val="32"/>
          <w:lang w:val="zh-CN" w:eastAsia="zh-CN"/>
        </w:rPr>
        <w:t>打造</w:t>
      </w:r>
      <w:r>
        <w:rPr>
          <w:rFonts w:ascii="Times New Roman" w:eastAsia="方正仿宋_GBK" w:hAnsi="Times New Roman" w:hint="eastAsia"/>
          <w:sz w:val="32"/>
          <w:szCs w:val="32"/>
          <w:lang w:val="zh-CN" w:eastAsia="zh-CN"/>
        </w:rPr>
        <w:t>“政务</w:t>
      </w:r>
      <w:r>
        <w:rPr>
          <w:rFonts w:ascii="Times New Roman" w:eastAsia="方正仿宋_GBK" w:hAnsi="Times New Roman" w:hint="eastAsia"/>
          <w:bCs/>
          <w:sz w:val="32"/>
          <w:szCs w:val="32"/>
          <w:lang w:val="zh-CN" w:eastAsia="zh-CN"/>
        </w:rPr>
        <w:t>公开</w:t>
      </w:r>
      <w:r>
        <w:rPr>
          <w:rFonts w:ascii="Times New Roman" w:eastAsia="方正仿宋_GBK" w:hAnsi="Times New Roman"/>
          <w:bCs/>
          <w:sz w:val="32"/>
          <w:szCs w:val="32"/>
          <w:lang w:val="zh-CN" w:eastAsia="zh-CN"/>
        </w:rPr>
        <w:t>专区</w:t>
      </w:r>
      <w:r>
        <w:rPr>
          <w:rFonts w:ascii="Times New Roman" w:eastAsia="方正仿宋_GBK" w:hAnsi="Times New Roman" w:hint="eastAsia"/>
          <w:bCs/>
          <w:sz w:val="32"/>
          <w:szCs w:val="32"/>
          <w:lang w:val="zh-CN" w:eastAsia="zh-CN"/>
        </w:rPr>
        <w:t>”，建立政策文件宣传区、政府信息查询区、自助便民办理区、办事咨询服务区等，</w:t>
      </w:r>
      <w:r>
        <w:rPr>
          <w:rFonts w:ascii="Times New Roman" w:eastAsia="方正仿宋_GBK" w:hAnsi="Times New Roman"/>
          <w:bCs/>
          <w:sz w:val="32"/>
          <w:szCs w:val="32"/>
          <w:lang w:val="zh-CN" w:eastAsia="zh-CN"/>
        </w:rPr>
        <w:t>高质量受理政务公开申请及咨询事项，</w:t>
      </w:r>
      <w:r>
        <w:rPr>
          <w:rFonts w:ascii="Times New Roman" w:eastAsia="方正仿宋_GBK" w:hAnsi="Times New Roman" w:hint="eastAsia"/>
          <w:bCs/>
          <w:sz w:val="32"/>
          <w:szCs w:val="32"/>
          <w:lang w:val="zh-CN" w:eastAsia="zh-CN"/>
        </w:rPr>
        <w:t>突出利企便民、服务发展的品牌宗旨</w:t>
      </w:r>
      <w:r>
        <w:rPr>
          <w:rFonts w:ascii="Times New Roman" w:eastAsia="方正仿宋_GBK" w:cs="Arial" w:hAnsi="Times New Roman" w:hint="eastAsia"/>
          <w:sz w:val="32"/>
          <w:szCs w:val="32"/>
          <w:lang w:bidi="ar-SA"/>
        </w:rPr>
        <w:t>。</w:t>
      </w:r>
      <w:r>
        <w:rPr>
          <w:rFonts w:ascii="Times New Roman" w:eastAsia="方正仿宋_GBK" w:hAnsi="Times New Roman" w:hint="eastAsia"/>
          <w:sz w:val="32"/>
          <w:szCs w:val="32"/>
          <w:lang w:val="zh-CN" w:eastAsia="zh-CN"/>
        </w:rPr>
        <w:t>加强业务培训，把政府信息公开条例作为全员培训的重要内容，对新发布的文件规定及时组织人员进行培训学习，稳步提升政府信息公开的能力和水平。</w:t>
      </w:r>
    </w:p>
    <w:p>
      <w:pPr>
        <w:pStyle w:val="125"/>
        <w:adjustRightInd w:val="0"/>
        <w:snapToGrid w:val="0"/>
        <w:spacing w:line="560" w:lineRule="exact"/>
        <w:ind w:firstLineChars="200" w:firstLine="640"/>
        <w:contextualSpacing w:val="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ascii="方正仿宋_GBK" w:eastAsia="方正仿宋_GBK" w:cs="Arial" w:hint="eastAsia"/>
          <w:sz w:val="32"/>
          <w:szCs w:val="32"/>
          <w:lang w:bidi="ar-SA"/>
        </w:rPr>
        <w:t xml:space="preserve"> </w:t>
      </w: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二、主动公开政府信息情况</w:t>
      </w:r>
    </w:p>
    <w:tbl>
      <w:tblPr>
        <w:jc w:val="center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rPr>
          <w:trHeight w:val="495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本年</w:t>
            </w:r>
            <w:r>
              <w:rPr>
                <w:color w:val="auto"/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本年废止件</w:t>
            </w:r>
            <w:r>
              <w:rPr>
                <w:color w:val="auto"/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435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8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  <w:tr>
        <w:trPr>
          <w:trHeight w:val="406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9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39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0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5</w:t>
            </w:r>
          </w:p>
        </w:tc>
      </w:tr>
      <w:tr>
        <w:trPr>
          <w:trHeight w:val="474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1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</w:tbl>
    <w:p>
      <w:pPr>
        <w:pStyle w:val="132"/>
        <w:tabs>
          <w:tab w:val="center" w:pos="4153"/>
          <w:tab w:val="right" w:pos="8306"/>
        </w:tabs>
        <w:adjustRightInd/>
        <w:snapToGrid w:val="0"/>
        <w:contextualSpacing w:val="0"/>
      </w:pPr>
    </w:p>
    <w:p>
      <w:pPr>
        <w:pStyle w:val="86"/>
        <w:widowControl/>
        <w:shd w:val="clear" w:color="auto" w:fill="FFFFFF"/>
        <w:adjustRightInd w:val="0"/>
        <w:snapToGrid w:val="0"/>
        <w:spacing w:beforeAutospacing="0" w:afterLines="50" w:after="218" w:afterAutospacing="0" w:line="560" w:lineRule="exact"/>
        <w:ind w:left="0"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申请人情况</w:t>
            </w:r>
          </w:p>
        </w:tc>
      </w:tr>
      <w:tr>
        <w:trPr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总计</w:t>
            </w:r>
          </w:p>
        </w:tc>
      </w:tr>
      <w:tr>
        <w:trPr>
          <w:trHeight w:val="649"/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26"/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26"/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2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2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2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2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2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26"/>
              <w:widowControl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7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7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7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26"/>
              <w:widowControl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7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7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7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7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7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7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7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26"/>
              <w:widowControl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8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8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8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8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8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8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8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26"/>
              <w:widowControl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8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8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8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9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9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9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9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left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</w:tbl>
    <w:p>
      <w:pPr>
        <w:pStyle w:val="86"/>
        <w:widowControl/>
        <w:shd w:val="clear" w:color="auto" w:fill="FFFFFF"/>
        <w:spacing w:beforeLines="50" w:before="218" w:beforeAutospacing="0" w:after="120" w:afterAutospacing="0" w:line="560" w:lineRule="exact"/>
        <w:ind w:firstLineChars="200" w:firstLine="640"/>
        <w:jc w:val="both"/>
        <w:rPr>
          <w:rFonts w:ascii="宋体" w:cs="宋体" w:hint="eastAsia"/>
          <w:color w:val="auto"/>
          <w:szCs w:val="24"/>
          <w:lang w:bidi="ar-SA"/>
        </w:rPr>
      </w:pPr>
      <w:r>
        <w:rPr>
          <w:rFonts w:ascii="方正黑体_GBK" w:eastAsia="方正黑体_GBK" w:cs="楷体_GB2312" w:hint="eastAsia"/>
          <w:bCs/>
          <w:color w:val="auto"/>
          <w:sz w:val="32"/>
          <w:szCs w:val="32"/>
          <w:shd w:val="clear" w:color="auto" w:fill="FFFFFF"/>
          <w:lang w:bidi="ar-SA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</w:tr>
    </w:tbl>
    <w:p>
      <w:pPr>
        <w:pStyle w:val="86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五、存在的主要问题及改进情况</w:t>
      </w:r>
    </w:p>
    <w:p>
      <w:pPr>
        <w:pStyle w:val="308"/>
        <w:adjustRightInd w:val="0"/>
        <w:snapToGrid w:val="0"/>
        <w:ind w:firstLineChars="200" w:firstLine="624"/>
      </w:pPr>
      <w:r>
        <w:rPr>
          <w:rFonts w:ascii="方正楷体_GBK" w:eastAsia="方正楷体_GBK" w:hint="eastAsia"/>
          <w:b/>
          <w:bCs/>
        </w:rPr>
        <w:t>（一）2023年年报中所提问题整改情况。</w:t>
      </w:r>
    </w:p>
    <w:p>
      <w:pPr>
        <w:pStyle w:val="309"/>
        <w:adjustRightInd w:val="0"/>
        <w:snapToGrid w:val="0"/>
        <w:ind w:firstLineChars="200" w:firstLine="624"/>
        <w:rPr>
          <w:bCs/>
        </w:rPr>
      </w:pPr>
      <w:r>
        <w:rPr>
          <w:bCs/>
        </w:rPr>
        <w:t>一是强化培训，提升综合能力。认真研究落实海关总署、呼和浩特海关有关规定要求，</w:t>
      </w:r>
      <w:r>
        <w:rPr>
          <w:rFonts w:ascii="方正仿宋_GBK" w:hint="eastAsia"/>
          <w:color w:val="000000"/>
          <w:szCs w:val="32"/>
        </w:rPr>
        <w:t>明确政府信息公开内容、工作职责和办理时限流程，</w:t>
      </w:r>
      <w:r>
        <w:t>提升政府信息公开的规范性</w:t>
      </w:r>
      <w:r>
        <w:rPr>
          <w:rFonts w:hint="eastAsia"/>
        </w:rPr>
        <w:t>。</w:t>
      </w:r>
      <w:r>
        <w:rPr>
          <w:bCs/>
        </w:rPr>
        <w:t>建立多轮信息审核机制，引入业务骨干、法律专家参与，确保信息公开内容合法、全面、及时。</w:t>
      </w:r>
    </w:p>
    <w:p>
      <w:pPr>
        <w:pStyle w:val="309"/>
        <w:adjustRightInd w:val="0"/>
        <w:snapToGrid w:val="0"/>
        <w:ind w:firstLineChars="200" w:firstLine="624"/>
      </w:pPr>
      <w:r>
        <w:t>二是强化审核，确保工作质量。开展信息公开</w:t>
      </w:r>
      <w:r>
        <w:rPr>
          <w:rFonts w:hint="eastAsia"/>
        </w:rPr>
        <w:t>“</w:t>
      </w:r>
      <w:r>
        <w:t>回头看</w:t>
      </w:r>
      <w:r>
        <w:rPr>
          <w:rFonts w:hint="eastAsia"/>
        </w:rPr>
        <w:t>”</w:t>
      </w:r>
      <w:r>
        <w:t>工作，定期对信息公开情况进行自查自纠，常态化检查信息发布内容准确性、格式规范性、公开时限合规性，进一步夯实基层政务公开标准化规范化建设，提升政府信息公开工作质量。</w:t>
      </w:r>
    </w:p>
    <w:p>
      <w:pPr>
        <w:pStyle w:val="310"/>
        <w:adjustRightInd w:val="0"/>
        <w:snapToGrid w:val="0"/>
        <w:ind w:firstLineChars="200" w:firstLine="624"/>
      </w:pPr>
      <w:r>
        <w:rPr>
          <w:rFonts w:ascii="方正楷体_GBK" w:eastAsia="方正楷体_GBK" w:hint="eastAsia"/>
          <w:b/>
          <w:bCs/>
        </w:rPr>
        <w:t>（二）目前存在问题。</w:t>
      </w:r>
    </w:p>
    <w:p>
      <w:pPr>
        <w:pStyle w:val="16"/>
        <w:spacing w:line="560" w:lineRule="exact"/>
        <w:ind w:left="0" w:firstLineChars="200" w:firstLine="640"/>
      </w:pPr>
      <w:r>
        <w:t>一是政策解读能力还需加强，全年报送的政策解读数量不多，质量也有待提高。二是政务公开工作队伍稳定性和专业性需要进一步加强。</w:t>
      </w:r>
    </w:p>
    <w:p>
      <w:pPr>
        <w:pStyle w:val="86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color w:val="auto"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color w:val="auto"/>
          <w:sz w:val="32"/>
          <w:szCs w:val="32"/>
          <w:shd w:val="clear" w:color="auto" w:fill="FFFFFF"/>
          <w:lang w:bidi="ar-SA"/>
        </w:rPr>
        <w:t>六、其他需要报告的事项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  <w:lang w:bidi="ar-SA"/>
        </w:rPr>
      </w:pPr>
      <w:r>
        <w:rPr>
          <w:rFonts w:hint="eastAsia"/>
        </w:rPr>
        <w:t>本报告中所列数据的统计时间段为</w:t>
      </w:r>
      <w:r>
        <w:t>2024年1月1日至2024年12月31日</w:t>
      </w:r>
      <w:r>
        <w:rPr>
          <w:rFonts w:hint="eastAsia"/>
        </w:rPr>
        <w:t>。本年度未收取信息处理费</w:t>
      </w:r>
      <w:r>
        <w:rPr>
          <w:sz w:val="32"/>
          <w:szCs w:val="22"/>
        </w:rPr>
        <w:t>。</w:t>
      </w:r>
    </w:p>
    <w:p/>
    <w:sectPr>
      <w:pgSz w:w="11907" w:h="16839"/>
      <w:pgMar w:top="1440" w:right="1439" w:bottom="1440" w:left="1600" w:header="851" w:footer="992" w:gutter="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楷体_GB2312">
    <w:altName w:val="楷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楷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Courier New">
    <w:panose1 w:val="02070409020205090404"/>
    <w:charset w:val="00"/>
    <w:family w:val="auto"/>
    <w:pitch w:val="variable"/>
    <w:sig w:usb0="00007A87" w:usb1="80000000" w:usb2="00000008" w:usb3="00000000" w:csb0="400001FF" w:csb1="FFFF0000"/>
  </w:font>
  <w:font w:name="Calibri">
    <w:panose1 w:val="020F0502020204030204"/>
    <w:charset w:val="00"/>
    <w:family w:val="auto"/>
    <w:pitch w:val="variable"/>
    <w:sig w:usb0="E00002FF" w:usb1="4000ACFF" w:usb2="00000001" w:usb3="00000000" w:csb0="2000019F" w:csb1="00000000"/>
  </w:font>
  <w:font w:name="Mongolian Baiti">
    <w:panose1 w:val="03000500000000000000"/>
    <w:charset w:val="00"/>
    <w:family w:val="auto"/>
    <w:pitch w:val="variable"/>
    <w:sig w:usb0="80000023" w:usb1="00000000" w:usb2="0002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0FFFFF89"/>
    <w:multiLevelType w:val="singleLevel"/>
    <w:tmpl w:val="00000000"/>
    <w:lvl w:ilvl="0">
      <w:start w:val="1"/>
      <w:numFmt w:val="bullet"/>
      <w:lvlRestart w:val="0"/>
      <w:pStyle w:val="42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FFFFF88"/>
    <w:multiLevelType w:val="singleLevel"/>
    <w:tmpl w:val="00000000"/>
    <w:lvl w:ilvl="0">
      <w:start w:val="1"/>
      <w:numFmt w:val="decimal"/>
      <w:lvlRestart w:val="0"/>
      <w:pStyle w:val="4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FFFFF83"/>
    <w:multiLevelType w:val="singleLevel"/>
    <w:tmpl w:val="00000000"/>
    <w:lvl w:ilvl="0">
      <w:start w:val="1"/>
      <w:numFmt w:val="bullet"/>
      <w:lvlRestart w:val="0"/>
      <w:pStyle w:val="48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3">
    <w:nsid w:val="0FFFFF82"/>
    <w:multiLevelType w:val="singleLevel"/>
    <w:tmpl w:val="00000000"/>
    <w:lvl w:ilvl="0">
      <w:start w:val="1"/>
      <w:numFmt w:val="bullet"/>
      <w:lvlRestart w:val="0"/>
      <w:pStyle w:val="49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4">
    <w:nsid w:val="0FFFFF81"/>
    <w:multiLevelType w:val="singleLevel"/>
    <w:tmpl w:val="00000000"/>
    <w:lvl w:ilvl="0">
      <w:start w:val="1"/>
      <w:numFmt w:val="bullet"/>
      <w:lvlRestart w:val="0"/>
      <w:pStyle w:val="50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5">
    <w:nsid w:val="0FFFFF80"/>
    <w:multiLevelType w:val="singleLevel"/>
    <w:tmpl w:val="00000000"/>
    <w:lvl w:ilvl="0">
      <w:start w:val="1"/>
      <w:numFmt w:val="bullet"/>
      <w:lvlRestart w:val="0"/>
      <w:pStyle w:val="51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6">
    <w:nsid w:val="0FFFFF7F"/>
    <w:multiLevelType w:val="singleLevel"/>
    <w:tmpl w:val="00000000"/>
    <w:lvl w:ilvl="0">
      <w:start w:val="1"/>
      <w:numFmt w:val="decimal"/>
      <w:lvlRestart w:val="0"/>
      <w:pStyle w:val="52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7">
    <w:nsid w:val="0FFFFF7E"/>
    <w:multiLevelType w:val="singleLevel"/>
    <w:tmpl w:val="00000000"/>
    <w:lvl w:ilvl="0">
      <w:start w:val="1"/>
      <w:numFmt w:val="decimal"/>
      <w:lvlRestart w:val="0"/>
      <w:pStyle w:val="53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8">
    <w:nsid w:val="0FFFFF7D"/>
    <w:multiLevelType w:val="singleLevel"/>
    <w:tmpl w:val="00000000"/>
    <w:lvl w:ilvl="0">
      <w:start w:val="1"/>
      <w:numFmt w:val="decimal"/>
      <w:lvlRestart w:val="0"/>
      <w:pStyle w:val="54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9">
    <w:nsid w:val="0FFFFF7C"/>
    <w:multiLevelType w:val="singleLevel"/>
    <w:tmpl w:val="00000000"/>
    <w:lvl w:ilvl="0">
      <w:start w:val="1"/>
      <w:numFmt w:val="decimal"/>
      <w:lvlRestart w:val="0"/>
      <w:pStyle w:val="55"/>
      <w:lvlText w:val="%1."/>
      <w:lvlJc w:val="left"/>
      <w:pPr>
        <w:tabs>
          <w:tab w:val="num" w:pos="2040"/>
        </w:tabs>
        <w:ind w:left="204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0"/>
  <w:doNotDisplayPageBoundaries/>
  <w:displayBackgroundShape/>
  <w:bordersDoNotSurroundHeader/>
  <w:bordersDoNotSurroundFooter/>
  <w:defaultTabStop w:val="420"/>
  <w:drawingGridHorizontalSpacing w:val="160"/>
  <w:drawingGridVerticalSpacing w:val="217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index 6"/>
    <w:basedOn w:val="0"/>
    <w:autoRedefine/>
    <w:next w:val="0"/>
    <w:pPr>
      <w:ind w:left="2100"/>
    </w:pPr>
  </w:style>
  <w:style w:type="paragraph" w:styleId="16">
    <w:name w:val="index 7"/>
    <w:autoRedefine/>
    <w:next w:val="0"/>
    <w:pPr>
      <w:widowControl w:val="0"/>
      <w:ind w:left="252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styleId="17">
    <w:name w:val="toc 2"/>
    <w:basedOn w:val="0"/>
    <w:autoRedefine/>
    <w:next w:val="0"/>
    <w:pPr>
      <w:ind w:left="420"/>
    </w:pPr>
  </w:style>
  <w:style w:type="paragraph" w:styleId="18">
    <w:name w:val="toc 3"/>
    <w:basedOn w:val="0"/>
    <w:autoRedefine/>
    <w:next w:val="0"/>
    <w:pPr>
      <w:ind w:left="840"/>
    </w:pPr>
  </w:style>
  <w:style w:type="paragraph" w:styleId="19">
    <w:name w:val="toc 4"/>
    <w:basedOn w:val="0"/>
    <w:autoRedefine/>
    <w:next w:val="0"/>
    <w:pPr>
      <w:ind w:left="1260"/>
    </w:pPr>
  </w:style>
  <w:style w:type="paragraph" w:styleId="20">
    <w:name w:val="toc 6"/>
    <w:basedOn w:val="0"/>
    <w:autoRedefine/>
    <w:next w:val="0"/>
    <w:pPr>
      <w:ind w:left="2100"/>
    </w:pPr>
  </w:style>
  <w:style w:type="paragraph" w:styleId="21">
    <w:name w:val="toc 7"/>
    <w:basedOn w:val="0"/>
    <w:autoRedefine/>
    <w:next w:val="0"/>
    <w:pPr>
      <w:ind w:left="2520"/>
    </w:pPr>
  </w:style>
  <w:style w:type="paragraph" w:styleId="22">
    <w:name w:val="toc 8"/>
    <w:basedOn w:val="0"/>
    <w:autoRedefine/>
    <w:next w:val="0"/>
    <w:pPr>
      <w:ind w:left="2940"/>
    </w:pPr>
  </w:style>
  <w:style w:type="paragraph" w:styleId="23">
    <w:name w:val="toc 9"/>
    <w:basedOn w:val="0"/>
    <w:autoRedefine/>
    <w:next w:val="0"/>
    <w:pPr>
      <w:ind w:left="3360"/>
    </w:pPr>
  </w:style>
  <w:style w:type="paragraph" w:styleId="24">
    <w:name w:val="Normal Indent"/>
    <w:basedOn w:val="0"/>
    <w:pPr>
      <w:ind w:firstLine="420"/>
    </w:pPr>
  </w:style>
  <w:style w:type="paragraph" w:styleId="25">
    <w:name w:val="footnote text"/>
    <w:basedOn w:val="0"/>
    <w:pPr>
      <w:snapToGrid w:val="0"/>
      <w:jc w:val="left"/>
    </w:pPr>
    <w:rPr>
      <w:sz w:val="18"/>
      <w:szCs w:val="18"/>
    </w:rPr>
  </w:style>
  <w:style w:type="paragraph" w:styleId="26">
    <w:name w:val="annotation text"/>
    <w:basedOn w:val="0"/>
    <w:pPr>
      <w:jc w:val="left"/>
    </w:pPr>
  </w:style>
  <w:style w:type="paragraph" w:styleId="27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  <w:style w:type="paragraph" w:styleId="28">
    <w:name w:val="index heading"/>
    <w:basedOn w:val="0"/>
    <w:rPr>
      <w:rFonts w:ascii="Arial" w:hAnsi="Arial"/>
      <w:b/>
    </w:rPr>
  </w:style>
  <w:style w:type="paragraph" w:styleId="29">
    <w:name w:val="caption"/>
    <w:basedOn w:val="0"/>
    <w:next w:val="0"/>
    <w:rPr>
      <w:rFonts w:ascii="Arial" w:eastAsia="黑体" w:hAnsi="Arial"/>
      <w:b/>
      <w:bCs/>
      <w:sz w:val="20"/>
      <w:szCs w:val="20"/>
    </w:rPr>
  </w:style>
  <w:style w:type="paragraph" w:styleId="30">
    <w:name w:val="table of figures"/>
    <w:basedOn w:val="0"/>
    <w:next w:val="0"/>
  </w:style>
  <w:style w:type="paragraph" w:styleId="31">
    <w:name w:val="envelope address"/>
    <w:basedOn w:val="0"/>
    <w:pPr>
      <w:snapToGrid w:val="0"/>
      <w:ind w:left="2880"/>
    </w:pPr>
    <w:rPr>
      <w:rFonts w:ascii="Arial" w:hAnsi="Arial"/>
      <w:sz w:val="24"/>
      <w:szCs w:val="24"/>
    </w:rPr>
  </w:style>
  <w:style w:type="paragraph" w:styleId="32">
    <w:name w:val="envelope return"/>
    <w:basedOn w:val="0"/>
    <w:pPr>
      <w:snapToGrid w:val="0"/>
    </w:pPr>
    <w:rPr>
      <w:rFonts w:ascii="Arial" w:hAnsi="Arial"/>
    </w:rPr>
  </w:style>
  <w:style w:type="character" w:styleId="33">
    <w:name w:val="footnote reference"/>
    <w:basedOn w:val="10"/>
    <w:rPr>
      <w:vertAlign w:val="superscript"/>
    </w:rPr>
  </w:style>
  <w:style w:type="character" w:styleId="34">
    <w:name w:val="annotation reference"/>
    <w:basedOn w:val="10"/>
    <w:rPr>
      <w:sz w:val="21"/>
      <w:szCs w:val="21"/>
    </w:rPr>
  </w:style>
  <w:style w:type="character" w:styleId="35">
    <w:name w:val="line number"/>
    <w:basedOn w:val="10"/>
  </w:style>
  <w:style w:type="character" w:styleId="36">
    <w:name w:val="page number"/>
    <w:basedOn w:val="10"/>
  </w:style>
  <w:style w:type="character" w:styleId="37">
    <w:name w:val="endnote reference"/>
    <w:basedOn w:val="10"/>
    <w:rPr>
      <w:vertAlign w:val="superscript"/>
    </w:rPr>
  </w:style>
  <w:style w:type="paragraph" w:styleId="38">
    <w:name w:val="endnote text"/>
    <w:basedOn w:val="0"/>
    <w:pPr>
      <w:snapToGrid w:val="0"/>
      <w:jc w:val="left"/>
    </w:pPr>
  </w:style>
  <w:style w:type="paragraph" w:styleId="39">
    <w:name w:val="table of authorities"/>
    <w:basedOn w:val="0"/>
    <w:next w:val="0"/>
    <w:pPr>
      <w:ind w:left="420"/>
    </w:pPr>
  </w:style>
  <w:style w:type="paragraph" w:styleId="40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left"/>
    </w:pPr>
    <w:rPr>
      <w:rFonts w:ascii="Courier New" w:eastAsia="宋体" w:cs="Times New Roman" w:hAnsi="Courier New"/>
      <w:sz w:val="24"/>
      <w:szCs w:val="24"/>
      <w:lang w:val="en-US" w:eastAsia="zh-CN" w:bidi="ar-SA"/>
    </w:rPr>
  </w:style>
  <w:style w:type="paragraph" w:styleId="41">
    <w:name w:val="toa heading"/>
    <w:basedOn w:val="0"/>
    <w:next w:val="0"/>
    <w:pPr>
      <w:spacing w:before="120"/>
    </w:pPr>
    <w:rPr>
      <w:rFonts w:ascii="Arial" w:hAnsi="Arial"/>
      <w:sz w:val="24"/>
      <w:szCs w:val="24"/>
    </w:rPr>
  </w:style>
  <w:style w:type="paragraph" w:styleId="42">
    <w:name w:val="List"/>
    <w:basedOn w:val="0"/>
    <w:pPr>
      <w:ind w:left="420" w:hanging="420"/>
    </w:pPr>
  </w:style>
  <w:style w:type="paragraph" w:styleId="43">
    <w:name w:val="List Bullet"/>
    <w:basedOn w:val="0"/>
    <w:pPr>
      <w:numPr>
        <w:ilvl w:val="0"/>
        <w:numId w:val="1"/>
      </w:numPr>
    </w:pPr>
  </w:style>
  <w:style w:type="paragraph" w:styleId="44">
    <w:name w:val="List Number"/>
    <w:basedOn w:val="0"/>
    <w:pPr>
      <w:numPr>
        <w:ilvl w:val="0"/>
        <w:numId w:val="2"/>
      </w:numPr>
    </w:pPr>
  </w:style>
  <w:style w:type="paragraph" w:styleId="45">
    <w:name w:val="List 2"/>
    <w:basedOn w:val="0"/>
    <w:pPr>
      <w:ind w:left="840" w:hanging="420"/>
    </w:pPr>
  </w:style>
  <w:style w:type="paragraph" w:styleId="46">
    <w:name w:val="List 3"/>
    <w:basedOn w:val="0"/>
    <w:pPr>
      <w:ind w:left="1260" w:hanging="420"/>
    </w:pPr>
  </w:style>
  <w:style w:type="paragraph" w:styleId="47">
    <w:name w:val="List 4"/>
    <w:basedOn w:val="0"/>
    <w:pPr>
      <w:ind w:left="1680" w:hanging="420"/>
    </w:pPr>
  </w:style>
  <w:style w:type="paragraph" w:styleId="48">
    <w:name w:val="List 5"/>
    <w:basedOn w:val="0"/>
    <w:pPr>
      <w:ind w:left="2100" w:hanging="420"/>
    </w:pPr>
  </w:style>
  <w:style w:type="paragraph" w:styleId="49">
    <w:name w:val="List Bullet 2"/>
    <w:basedOn w:val="0"/>
    <w:pPr>
      <w:numPr>
        <w:ilvl w:val="0"/>
        <w:numId w:val="3"/>
      </w:numPr>
    </w:pPr>
  </w:style>
  <w:style w:type="paragraph" w:styleId="50">
    <w:name w:val="List Bullet 3"/>
    <w:basedOn w:val="0"/>
    <w:pPr>
      <w:numPr>
        <w:ilvl w:val="0"/>
        <w:numId w:val="4"/>
      </w:numPr>
    </w:pPr>
  </w:style>
  <w:style w:type="paragraph" w:styleId="51">
    <w:name w:val="List Bullet 4"/>
    <w:basedOn w:val="0"/>
    <w:pPr>
      <w:numPr>
        <w:ilvl w:val="0"/>
        <w:numId w:val="5"/>
      </w:numPr>
    </w:pPr>
  </w:style>
  <w:style w:type="paragraph" w:styleId="52">
    <w:name w:val="List Bullet 5"/>
    <w:basedOn w:val="0"/>
    <w:pPr>
      <w:numPr>
        <w:ilvl w:val="0"/>
        <w:numId w:val="6"/>
      </w:numPr>
    </w:pPr>
  </w:style>
  <w:style w:type="paragraph" w:styleId="53">
    <w:name w:val="List Number 2"/>
    <w:basedOn w:val="0"/>
    <w:pPr>
      <w:numPr>
        <w:ilvl w:val="0"/>
        <w:numId w:val="7"/>
      </w:numPr>
    </w:pPr>
  </w:style>
  <w:style w:type="paragraph" w:styleId="54">
    <w:name w:val="List Number 3"/>
    <w:basedOn w:val="0"/>
    <w:pPr>
      <w:numPr>
        <w:ilvl w:val="0"/>
        <w:numId w:val="8"/>
      </w:numPr>
    </w:pPr>
  </w:style>
  <w:style w:type="paragraph" w:styleId="55">
    <w:name w:val="List Number 4"/>
    <w:basedOn w:val="0"/>
    <w:pPr>
      <w:numPr>
        <w:ilvl w:val="0"/>
        <w:numId w:val="9"/>
      </w:numPr>
    </w:pPr>
  </w:style>
  <w:style w:type="paragraph" w:styleId="56">
    <w:name w:val="List Number 5"/>
    <w:basedOn w:val="0"/>
    <w:pPr>
      <w:numPr>
        <w:ilvl w:val="0"/>
        <w:numId w:val="10"/>
      </w:numPr>
    </w:pPr>
  </w:style>
  <w:style w:type="paragraph" w:styleId="57">
    <w:name w:val="Title"/>
    <w:basedOn w:val="0"/>
    <w:pPr>
      <w:spacing w:before="240" w:after="60"/>
      <w:jc w:val="center"/>
      <w:outlineLvl w:val="0"/>
    </w:pPr>
    <w:rPr>
      <w:rFonts w:ascii="Arial" w:hAnsi="Arial"/>
      <w:b/>
      <w:bCs/>
      <w:sz w:val="32"/>
      <w:szCs w:val="32"/>
    </w:rPr>
  </w:style>
  <w:style w:type="paragraph" w:styleId="58">
    <w:name w:val="Closing"/>
    <w:basedOn w:val="0"/>
    <w:pPr>
      <w:ind w:left="4320"/>
    </w:pPr>
  </w:style>
  <w:style w:type="paragraph" w:styleId="59">
    <w:name w:val="Signature"/>
    <w:basedOn w:val="0"/>
    <w:pPr>
      <w:ind w:left="4320"/>
    </w:pPr>
  </w:style>
  <w:style w:type="paragraph" w:styleId="60">
    <w:name w:val="Body Text"/>
    <w:basedOn w:val="0"/>
    <w:pPr>
      <w:spacing w:after="120"/>
    </w:pPr>
  </w:style>
  <w:style w:type="paragraph" w:styleId="61">
    <w:name w:val="Body Text Indent"/>
    <w:basedOn w:val="0"/>
    <w:pPr>
      <w:spacing w:after="120"/>
      <w:ind w:left="420"/>
    </w:pPr>
  </w:style>
  <w:style w:type="paragraph" w:styleId="62">
    <w:name w:val="List Continue"/>
    <w:basedOn w:val="0"/>
    <w:pPr>
      <w:spacing w:after="120"/>
      <w:ind w:left="420"/>
    </w:pPr>
  </w:style>
  <w:style w:type="paragraph" w:styleId="63">
    <w:name w:val="List Continue 2"/>
    <w:basedOn w:val="0"/>
    <w:pPr>
      <w:spacing w:after="120"/>
      <w:ind w:left="840"/>
    </w:pPr>
  </w:style>
  <w:style w:type="paragraph" w:styleId="64">
    <w:name w:val="List Continue 3"/>
    <w:basedOn w:val="0"/>
    <w:pPr>
      <w:spacing w:after="120"/>
      <w:ind w:left="1260"/>
    </w:pPr>
  </w:style>
  <w:style w:type="paragraph" w:styleId="65">
    <w:name w:val="List Continue 4"/>
    <w:basedOn w:val="0"/>
    <w:pPr>
      <w:spacing w:after="120"/>
      <w:ind w:left="1680"/>
    </w:pPr>
  </w:style>
  <w:style w:type="paragraph" w:styleId="66">
    <w:name w:val="List Continue 5"/>
    <w:basedOn w:val="0"/>
    <w:pPr>
      <w:spacing w:after="120"/>
      <w:ind w:left="2100"/>
    </w:pPr>
  </w:style>
  <w:style w:type="paragraph" w:styleId="67">
    <w:name w:val="Message Header"/>
    <w:basedOn w:val="0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12" w:color="auto" w:fill="auto"/>
      <w:ind w:leftChars="500" w:left="1000" w:hangingChars="500" w:hanging="500"/>
    </w:pPr>
    <w:rPr>
      <w:rFonts w:ascii="Arial" w:hAnsi="Arial"/>
      <w:sz w:val="24"/>
      <w:szCs w:val="24"/>
    </w:rPr>
  </w:style>
  <w:style w:type="paragraph" w:styleId="68">
    <w:name w:val="Subtitle"/>
    <w:basedOn w:val="0"/>
    <w:pPr>
      <w:spacing w:before="240" w:after="60" w:line="312" w:lineRule="auto"/>
      <w:jc w:val="center"/>
      <w:outlineLvl w:val="1"/>
    </w:pPr>
    <w:rPr>
      <w:rFonts w:ascii="Arial" w:hAnsi="Arial"/>
      <w:b/>
      <w:bCs/>
      <w:kern w:val="28"/>
      <w:sz w:val="32"/>
      <w:szCs w:val="32"/>
    </w:rPr>
  </w:style>
  <w:style w:type="paragraph" w:styleId="69">
    <w:name w:val="Salutation"/>
    <w:basedOn w:val="0"/>
    <w:next w:val="0"/>
  </w:style>
  <w:style w:type="paragraph" w:styleId="70">
    <w:name w:val="Date"/>
    <w:basedOn w:val="0"/>
    <w:next w:val="0"/>
    <w:pPr>
      <w:ind w:leftChars="2500" w:left="2500"/>
    </w:pPr>
  </w:style>
  <w:style w:type="paragraph" w:styleId="71">
    <w:name w:val="Body Text First Indent"/>
    <w:basedOn w:val="60"/>
    <w:pPr>
      <w:ind w:firstLine="420"/>
    </w:pPr>
  </w:style>
  <w:style w:type="paragraph" w:styleId="72">
    <w:name w:val="Body Text First Indent 2"/>
    <w:basedOn w:val="61"/>
    <w:pPr>
      <w:ind w:firstLine="420"/>
    </w:pPr>
  </w:style>
  <w:style w:type="paragraph" w:styleId="73">
    <w:name w:val="Note Heading"/>
    <w:basedOn w:val="0"/>
    <w:next w:val="0"/>
    <w:pPr>
      <w:jc w:val="center"/>
    </w:pPr>
  </w:style>
  <w:style w:type="paragraph" w:styleId="74">
    <w:name w:val="Body Text 2"/>
    <w:basedOn w:val="0"/>
    <w:pPr>
      <w:spacing w:after="120" w:line="480" w:lineRule="auto"/>
    </w:pPr>
  </w:style>
  <w:style w:type="paragraph" w:styleId="75">
    <w:name w:val="Body Text 3"/>
    <w:basedOn w:val="0"/>
    <w:pPr>
      <w:spacing w:after="120"/>
    </w:pPr>
    <w:rPr>
      <w:sz w:val="16"/>
      <w:szCs w:val="16"/>
    </w:rPr>
  </w:style>
  <w:style w:type="paragraph" w:styleId="76">
    <w:name w:val="Body Text Indent 2"/>
    <w:basedOn w:val="0"/>
    <w:pPr>
      <w:spacing w:after="120" w:line="480" w:lineRule="auto"/>
      <w:ind w:left="420"/>
    </w:pPr>
  </w:style>
  <w:style w:type="paragraph" w:styleId="77">
    <w:name w:val="Body Text Indent 3"/>
    <w:basedOn w:val="0"/>
    <w:pPr>
      <w:spacing w:after="120"/>
      <w:ind w:left="420"/>
    </w:pPr>
    <w:rPr>
      <w:sz w:val="16"/>
      <w:szCs w:val="16"/>
    </w:rPr>
  </w:style>
  <w:style w:type="paragraph" w:styleId="78">
    <w:name w:val="Block Text"/>
    <w:basedOn w:val="0"/>
    <w:pPr>
      <w:spacing w:after="120"/>
      <w:ind w:left="140" w:rightChars="700" w:right="700"/>
    </w:pPr>
  </w:style>
  <w:style w:type="character" w:styleId="79">
    <w:name w:val="Hyperlink"/>
    <w:basedOn w:val="10"/>
    <w:rPr>
      <w:color w:val="0000FF"/>
      <w:u w:val="single"/>
    </w:rPr>
  </w:style>
  <w:style w:type="character" w:styleId="80">
    <w:name w:val="FollowedHyperlink"/>
    <w:basedOn w:val="10"/>
    <w:rPr>
      <w:color w:val="800080"/>
      <w:u w:val="single"/>
    </w:rPr>
  </w:style>
  <w:style w:type="character" w:styleId="81">
    <w:name w:val="Strong"/>
    <w:basedOn w:val="10"/>
    <w:rPr>
      <w:b/>
    </w:rPr>
  </w:style>
  <w:style w:type="character" w:styleId="82">
    <w:name w:val="Emphasis"/>
    <w:basedOn w:val="10"/>
    <w:rPr>
      <w:i/>
    </w:rPr>
  </w:style>
  <w:style w:type="paragraph" w:styleId="83">
    <w:name w:val="Document Map"/>
    <w:basedOn w:val="0"/>
    <w:pPr>
      <w:shd w:val="clear" w:color="auto" w:fill="000080"/>
    </w:pPr>
  </w:style>
  <w:style w:type="paragraph" w:styleId="84">
    <w:name w:val="Plain Text"/>
    <w:basedOn w:val="0"/>
    <w:rPr>
      <w:rFonts w:ascii="Courier New" w:eastAsia="宋体" w:hAnsi="Courier New"/>
    </w:rPr>
  </w:style>
  <w:style w:type="paragraph" w:styleId="85">
    <w:name w:val="E-mail Signature"/>
    <w:basedOn w:val="0"/>
  </w:style>
  <w:style w:type="paragraph" w:styleId="86">
    <w:name w:val="Normal (Web)"/>
    <w:next w:val="15"/>
    <w:pPr>
      <w:widowControl w:val="0"/>
      <w:spacing w:beforeAutospacing="1" w:afterAutospacing="1"/>
      <w:jc w:val="left"/>
    </w:pPr>
    <w:rPr>
      <w:rFonts w:ascii="Times New Roman" w:eastAsia="宋体" w:cs="Times New Roman" w:hAnsi="Times New Roman"/>
      <w:kern w:val="0"/>
      <w:sz w:val="24"/>
      <w:szCs w:val="30"/>
      <w:lang w:val="en-US" w:eastAsia="zh-CN" w:bidi="ar-SA"/>
    </w:rPr>
  </w:style>
  <w:style w:type="character" w:styleId="87">
    <w:name w:val="HTML Acronym"/>
    <w:basedOn w:val="10"/>
  </w:style>
  <w:style w:type="paragraph" w:styleId="88">
    <w:name w:val="HTML Address"/>
    <w:basedOn w:val="0"/>
    <w:rPr>
      <w:i/>
    </w:rPr>
  </w:style>
  <w:style w:type="character" w:styleId="89">
    <w:name w:val="HTML Cite"/>
    <w:basedOn w:val="10"/>
    <w:rPr>
      <w:i/>
    </w:rPr>
  </w:style>
  <w:style w:type="character" w:styleId="90">
    <w:name w:val="HTML Code"/>
    <w:basedOn w:val="10"/>
    <w:rPr>
      <w:rFonts w:ascii="Courier New" w:hAnsi="Courier New"/>
      <w:sz w:val="20"/>
      <w:szCs w:val="20"/>
    </w:rPr>
  </w:style>
  <w:style w:type="character" w:styleId="91">
    <w:name w:val="HTML Definition"/>
    <w:basedOn w:val="10"/>
    <w:rPr>
      <w:i/>
    </w:rPr>
  </w:style>
  <w:style w:type="character" w:styleId="92">
    <w:name w:val="HTML Keyboard"/>
    <w:basedOn w:val="10"/>
    <w:rPr>
      <w:rFonts w:ascii="Courier New" w:hAnsi="Courier New"/>
      <w:sz w:val="20"/>
      <w:szCs w:val="20"/>
    </w:rPr>
  </w:style>
  <w:style w:type="paragraph" w:styleId="93">
    <w:name w:val="HTML Preformatted"/>
    <w:basedOn w:val="0"/>
    <w:rPr>
      <w:rFonts w:ascii="Courier New" w:hAnsi="Courier New"/>
      <w:sz w:val="20"/>
      <w:szCs w:val="20"/>
    </w:rPr>
  </w:style>
  <w:style w:type="character" w:styleId="94">
    <w:name w:val="HTML Sample"/>
    <w:basedOn w:val="10"/>
    <w:rPr>
      <w:rFonts w:ascii="Courier New" w:hAnsi="Courier New"/>
    </w:rPr>
  </w:style>
  <w:style w:type="character" w:styleId="95">
    <w:name w:val="HTML Typewriter"/>
    <w:basedOn w:val="10"/>
    <w:rPr>
      <w:rFonts w:ascii="Courier New" w:hAnsi="Courier New"/>
      <w:sz w:val="20"/>
      <w:szCs w:val="20"/>
    </w:rPr>
  </w:style>
  <w:style w:type="character" w:styleId="96">
    <w:name w:val="HTML Variable"/>
    <w:basedOn w:val="10"/>
    <w:rPr>
      <w:i/>
    </w:rPr>
  </w:style>
  <w:style w:type="paragraph" w:styleId="97">
    <w:name w:val="annotation subject"/>
    <w:basedOn w:val="26"/>
    <w:next w:val="26"/>
    <w:rPr>
      <w:b/>
    </w:rPr>
  </w:style>
  <w:style w:type="paragraph" w:styleId="98">
    <w:name w:val="Balloon Text"/>
    <w:basedOn w:val="0"/>
    <w:next w:val="0"/>
    <w:rPr>
      <w:sz w:val="18"/>
      <w:szCs w:val="18"/>
    </w:rPr>
  </w:style>
  <w:style w:type="paragraph" w:customStyle="1" w:styleId="99">
    <w:name w:val="正文文字"/>
    <w:basedOn w:val="0"/>
    <w:next w:val="0"/>
    <w:pPr>
      <w:spacing w:after="120"/>
    </w:pPr>
  </w:style>
  <w:style w:type="paragraph" w:customStyle="1" w:styleId="100">
    <w:name w:val="正文文字 1"/>
    <w:basedOn w:val="0"/>
    <w:autoRedefine/>
    <w:next w:val="0"/>
    <w:pPr>
      <w:ind w:left="240"/>
    </w:pPr>
    <w:rPr>
      <w:sz w:val="28"/>
      <w:szCs w:val="28"/>
    </w:rPr>
  </w:style>
  <w:style w:type="paragraph" w:customStyle="1" w:styleId="101">
    <w:name w:val="正文文字 2"/>
    <w:basedOn w:val="0"/>
    <w:autoRedefine/>
    <w:next w:val="0"/>
    <w:pPr>
      <w:ind w:left="240"/>
    </w:pPr>
    <w:rPr>
      <w:rFonts w:ascii="Arial" w:hAnsi="Arial"/>
      <w:sz w:val="28"/>
      <w:szCs w:val="28"/>
    </w:rPr>
  </w:style>
  <w:style w:type="paragraph" w:customStyle="1" w:styleId="102">
    <w:name w:val="正文文字 3"/>
    <w:basedOn w:val="0"/>
    <w:autoRedefine/>
    <w:next w:val="0"/>
    <w:pPr>
      <w:ind w:left="240"/>
    </w:pPr>
    <w:rPr>
      <w:sz w:val="28"/>
      <w:szCs w:val="28"/>
    </w:rPr>
  </w:style>
  <w:style w:type="paragraph" w:customStyle="1" w:styleId="103">
    <w:name w:val="正文文字 4"/>
    <w:basedOn w:val="0"/>
    <w:autoRedefine/>
    <w:next w:val="0"/>
    <w:pPr>
      <w:ind w:left="240"/>
    </w:pPr>
    <w:rPr>
      <w:sz w:val="24"/>
      <w:szCs w:val="24"/>
    </w:rPr>
  </w:style>
  <w:style w:type="paragraph" w:customStyle="1" w:styleId="104">
    <w:name w:val="正文文字 5"/>
    <w:basedOn w:val="0"/>
    <w:autoRedefine/>
    <w:next w:val="0"/>
    <w:pPr>
      <w:ind w:left="240"/>
    </w:pPr>
    <w:rPr>
      <w:sz w:val="24"/>
      <w:szCs w:val="24"/>
    </w:rPr>
  </w:style>
  <w:style w:type="paragraph" w:customStyle="1" w:styleId="105">
    <w:name w:val="正文文字 6"/>
    <w:basedOn w:val="0"/>
    <w:autoRedefine/>
    <w:next w:val="0"/>
    <w:pPr>
      <w:ind w:left="240"/>
    </w:pPr>
    <w:rPr>
      <w:sz w:val="20"/>
      <w:szCs w:val="20"/>
    </w:rPr>
  </w:style>
  <w:style w:type="paragraph" w:customStyle="1" w:styleId="106">
    <w:name w:val="正文文字 7"/>
    <w:basedOn w:val="0"/>
    <w:autoRedefine/>
    <w:next w:val="0"/>
    <w:pPr>
      <w:ind w:left="240"/>
    </w:pPr>
    <w:rPr>
      <w:sz w:val="20"/>
      <w:szCs w:val="20"/>
    </w:rPr>
  </w:style>
  <w:style w:type="paragraph" w:customStyle="1" w:styleId="107">
    <w:name w:val="正文文字 8"/>
    <w:basedOn w:val="0"/>
    <w:autoRedefine/>
    <w:next w:val="0"/>
    <w:pPr>
      <w:ind w:left="240"/>
    </w:pPr>
    <w:rPr>
      <w:sz w:val="16"/>
      <w:szCs w:val="16"/>
    </w:rPr>
  </w:style>
  <w:style w:type="paragraph" w:customStyle="1" w:styleId="108">
    <w:name w:val="正文文字 9"/>
    <w:basedOn w:val="0"/>
    <w:autoRedefine/>
    <w:next w:val="0"/>
    <w:pPr>
      <w:ind w:left="240"/>
    </w:pPr>
    <w:rPr>
      <w:sz w:val="16"/>
      <w:szCs w:val="16"/>
    </w:rPr>
  </w:style>
  <w:style w:type="paragraph" w:customStyle="1" w:styleId="109">
    <w:name w:val="公式样式 文本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10">
    <w:name w:val="公式样式 函数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11">
    <w:name w:val="公式样式 变量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112">
    <w:name w:val="公式样式 小写希腊字母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113">
    <w:name w:val="公式样式 大写希腊字母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14">
    <w:name w:val="公式样式 符号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15">
    <w:name w:val="公式样式 矢量矩阵"/>
    <w:autoRedefine/>
    <w:rPr>
      <w:rFonts w:ascii="Times New Roman" w:eastAsia="宋体" w:cs="Times New Roman" w:hAnsi="Times New Roman"/>
      <w:b/>
      <w:i w:val="0"/>
      <w:lang w:val="en-US" w:eastAsia="zh-CN" w:bidi="ar-SA"/>
    </w:rPr>
  </w:style>
  <w:style w:type="paragraph" w:customStyle="1" w:styleId="116">
    <w:name w:val="公式样式 数字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17">
    <w:name w:val="样式 6 三号"/>
    <w:next w:val="21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560" w:lineRule="exact"/>
      <w:ind w:left="0" w:right="0" w:firstLine="0"/>
      <w:contextualSpacing w:val="0"/>
      <w:jc w:val="both"/>
      <w:textAlignment w:val="auto"/>
      <w:outlineLvl w:val="9"/>
    </w:pPr>
    <w:rPr>
      <w:rFonts w:ascii="Times New Roman" w:eastAsia="方正仿宋_GBK" w:cs="Times New Roman" w:hAnsi="Times New Roman"/>
      <w:snapToGrid/>
      <w:color w:val="auto"/>
      <w:spacing w:val="-4"/>
      <w:w w:val="100"/>
      <w:kern w:val="2"/>
      <w:position w:val="0"/>
      <w:sz w:val="32"/>
      <w:szCs w:val="28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118">
    <w:name w:val="样式 三号"/>
    <w:next w:val="18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19">
    <w:name w:val="样式 2 三号"/>
    <w:next w:val="15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mn-Mong-CN"/>
    </w:rPr>
  </w:style>
  <w:style w:type="paragraph" w:customStyle="1" w:styleId="120">
    <w:name w:val="样式 4 三号"/>
    <w:next w:val="20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21">
    <w:name w:val="样式 5 小四"/>
    <w:next w:val="205"/>
    <w:pPr>
      <w:widowControl w:val="0"/>
      <w:jc w:val="both"/>
    </w:pPr>
    <w:rPr>
      <w:rFonts w:ascii="方正仿宋_GBK" w:eastAsia="方正仿宋_GBK" w:cs="Times New Roman"/>
      <w:spacing w:val="-2"/>
      <w:kern w:val="10"/>
      <w:sz w:val="24"/>
      <w:szCs w:val="24"/>
      <w:lang w:val="en-US" w:eastAsia="zh-CN" w:bidi="ar-SA"/>
    </w:rPr>
  </w:style>
  <w:style w:type="paragraph" w:customStyle="1" w:styleId="122">
    <w:name w:val="样式 44 三号"/>
    <w:next w:val="84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123">
    <w:name w:val="样式 205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24">
    <w:name w:val="样式 7 小四"/>
    <w:next w:val="206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 w:cs="Times New Roman"/>
      <w:snapToGrid/>
      <w:color w:val="auto"/>
      <w:spacing w:val="0"/>
      <w:w w:val="100"/>
      <w:kern w:val="2"/>
      <w:position w:val="0"/>
      <w:sz w:val="24"/>
      <w:szCs w:val="20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125">
    <w:name w:val="样式 2 小四"/>
    <w:next w:val="87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 w:cs="Times New Roman"/>
      <w:snapToGrid/>
      <w:color w:val="auto"/>
      <w:spacing w:val="0"/>
      <w:w w:val="100"/>
      <w:kern w:val="2"/>
      <w:position w:val="0"/>
      <w:sz w:val="24"/>
      <w:szCs w:val="20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126">
    <w:name w:val="样式 小三"/>
    <w:next w:val="1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7">
    <w:name w:val="样式 5 小三"/>
    <w:next w:val="2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8">
    <w:name w:val="样式 16 小三"/>
    <w:next w:val="2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9">
    <w:name w:val="样式 8 小三"/>
    <w:next w:val="2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0">
    <w:name w:val="样式 17 小三"/>
    <w:next w:val="2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1">
    <w:name w:val="样式 12 小三"/>
    <w:next w:val="2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2">
    <w:name w:val="样式 小五"/>
    <w:next w:val="95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133">
    <w:name w:val="样式 21 小三"/>
    <w:next w:val="2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4">
    <w:name w:val="样式 22 小三"/>
    <w:next w:val="3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5">
    <w:name w:val="样式 23 小三"/>
    <w:next w:val="3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6">
    <w:name w:val="样式 24 小三"/>
    <w:next w:val="3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7">
    <w:name w:val="样式 25 小三"/>
    <w:next w:val="3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8">
    <w:name w:val="样式 26 小三"/>
    <w:next w:val="3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9">
    <w:name w:val="样式 27 小三"/>
    <w:next w:val="3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0">
    <w:name w:val="样式 28 小三"/>
    <w:next w:val="3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1">
    <w:name w:val="样式 29 小三"/>
    <w:next w:val="3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2">
    <w:name w:val="样式 30 小三"/>
    <w:next w:val="3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3">
    <w:name w:val="样式 31 小三"/>
    <w:next w:val="3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4">
    <w:name w:val="样式 32 小三"/>
    <w:next w:val="4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5">
    <w:name w:val="样式 33 小三"/>
    <w:next w:val="4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6">
    <w:name w:val="样式 34 小三"/>
    <w:next w:val="4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7">
    <w:name w:val="样式 35 小三"/>
    <w:next w:val="4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8">
    <w:name w:val="样式 36 小三"/>
    <w:next w:val="4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9">
    <w:name w:val="样式 37 小三"/>
    <w:next w:val="4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0">
    <w:name w:val="样式 38 小三"/>
    <w:next w:val="4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1">
    <w:name w:val="样式 39 小三"/>
    <w:next w:val="4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2">
    <w:name w:val="样式 40 小三"/>
    <w:next w:val="4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3">
    <w:name w:val="样式 41 小三"/>
    <w:next w:val="4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4">
    <w:name w:val="样式 42 小三"/>
    <w:next w:val="5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5">
    <w:name w:val="样式 43 小三"/>
    <w:next w:val="5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6">
    <w:name w:val="样式 44 小三"/>
    <w:next w:val="5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7">
    <w:name w:val="样式 45 小三"/>
    <w:next w:val="5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8">
    <w:name w:val="样式 46 小三"/>
    <w:next w:val="5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9">
    <w:name w:val="样式 47 小三"/>
    <w:next w:val="5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0">
    <w:name w:val="样式 48 小三"/>
    <w:next w:val="5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1">
    <w:name w:val="样式 49 小三"/>
    <w:next w:val="5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2">
    <w:name w:val="样式 50 小三"/>
    <w:next w:val="5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3">
    <w:name w:val="样式 51 小三"/>
    <w:next w:val="5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4">
    <w:name w:val="样式 52 小三"/>
    <w:next w:val="6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5">
    <w:name w:val="样式 53 小三"/>
    <w:next w:val="6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6">
    <w:name w:val="样式 54 小三"/>
    <w:next w:val="6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7">
    <w:name w:val="样式 55 小三"/>
    <w:next w:val="6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8">
    <w:name w:val="样式 56 小三"/>
    <w:next w:val="6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9">
    <w:name w:val="样式 57 小三"/>
    <w:next w:val="6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0">
    <w:name w:val="样式 58 小三"/>
    <w:next w:val="6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1">
    <w:name w:val="样式 59 小三"/>
    <w:next w:val="6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2">
    <w:name w:val="样式 60 小三"/>
    <w:next w:val="6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3">
    <w:name w:val="样式 61 小三"/>
    <w:next w:val="6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4">
    <w:name w:val="样式 62 小三"/>
    <w:next w:val="7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5">
    <w:name w:val="样式 63 小三"/>
    <w:next w:val="7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6">
    <w:name w:val="样式 64 小三"/>
    <w:next w:val="7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7">
    <w:name w:val="样式 65 小三"/>
    <w:next w:val="7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8">
    <w:name w:val="样式 66 小三"/>
    <w:next w:val="7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9">
    <w:name w:val="样式 67 小三"/>
    <w:next w:val="7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0">
    <w:name w:val="样式 68 小三"/>
    <w:next w:val="7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1">
    <w:name w:val="样式 69 小三"/>
    <w:next w:val="7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2">
    <w:name w:val="样式 70 小三"/>
    <w:next w:val="7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3">
    <w:name w:val="样式 71 小三"/>
    <w:next w:val="7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4">
    <w:name w:val="样式 72 小三"/>
    <w:next w:val="8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5">
    <w:name w:val="样式 73 小三"/>
    <w:next w:val="8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6">
    <w:name w:val="样式 74 小三"/>
    <w:next w:val="8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7">
    <w:name w:val="样式 75 小三"/>
    <w:next w:val="8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8">
    <w:name w:val="样式 76 小三"/>
    <w:next w:val="8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9">
    <w:name w:val="样式 77 小三"/>
    <w:next w:val="8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0">
    <w:name w:val="样式 78 小三"/>
    <w:next w:val="8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1">
    <w:name w:val="样式 79 小三"/>
    <w:next w:val="8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2">
    <w:name w:val="样式 80 小三"/>
    <w:next w:val="8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3">
    <w:name w:val="样式 81 小三"/>
    <w:next w:val="8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4">
    <w:name w:val="样式 82 小三"/>
    <w:next w:val="9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5">
    <w:name w:val="样式 83 小三"/>
    <w:next w:val="9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6">
    <w:name w:val="样式 84 小三"/>
    <w:next w:val="9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7">
    <w:name w:val="样式 85 小三"/>
    <w:next w:val="9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8">
    <w:name w:val="样式 86 小三"/>
    <w:next w:val="9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9">
    <w:name w:val="样式 87 小三"/>
    <w:next w:val="9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0">
    <w:name w:val="样式 88 小三"/>
    <w:next w:val="9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1">
    <w:name w:val="样式 89 小三"/>
    <w:next w:val="9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2">
    <w:name w:val="样式 90 小三"/>
    <w:next w:val="9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3">
    <w:name w:val="样式 91 小三"/>
    <w:next w:val="9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4">
    <w:name w:val="样式 92 小三"/>
    <w:next w:val="10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5">
    <w:name w:val="样式 93 小三"/>
    <w:next w:val="10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6">
    <w:name w:val="样式 94 小三"/>
    <w:next w:val="10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7">
    <w:name w:val="样式 95 小三"/>
    <w:next w:val="10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8">
    <w:name w:val="样式 96 小三"/>
    <w:next w:val="10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9">
    <w:name w:val="样式 97 小三"/>
    <w:next w:val="10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0">
    <w:name w:val="样式 98 小三"/>
    <w:next w:val="10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1">
    <w:name w:val="样式 99 小三"/>
    <w:next w:val="10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2">
    <w:name w:val="样式 100 小三"/>
    <w:next w:val="10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3">
    <w:name w:val="样式 101 小三"/>
    <w:next w:val="10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4">
    <w:name w:val="样式 102 小三"/>
    <w:next w:val="11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5">
    <w:name w:val="样式 103 小三"/>
    <w:next w:val="11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6">
    <w:name w:val="样式 104 小三"/>
    <w:next w:val="11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7">
    <w:name w:val="样式 105 小三"/>
    <w:next w:val="11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8">
    <w:name w:val="样式 106 小三"/>
    <w:next w:val="11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9">
    <w:name w:val="样式 107 小三"/>
    <w:next w:val="11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0">
    <w:name w:val="样式 108 小三"/>
    <w:next w:val="11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1">
    <w:name w:val="样式 109 小三"/>
    <w:next w:val="11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2">
    <w:name w:val="样式 110 小三"/>
    <w:next w:val="11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3">
    <w:name w:val="样式 111 小三"/>
    <w:next w:val="11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4">
    <w:name w:val="样式 112 小三"/>
    <w:next w:val="12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5">
    <w:name w:val="样式 113 小三"/>
    <w:next w:val="12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6">
    <w:name w:val="样式 114 小三"/>
    <w:next w:val="12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7">
    <w:name w:val="样式 115 小三"/>
    <w:next w:val="12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8">
    <w:name w:val="样式 116 小三"/>
    <w:next w:val="12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9">
    <w:name w:val="样式 117 小三"/>
    <w:next w:val="12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0">
    <w:name w:val="样式 118 小三"/>
    <w:next w:val="12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1">
    <w:name w:val="样式 119 小三"/>
    <w:next w:val="12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2">
    <w:name w:val="样式 120 小三"/>
    <w:next w:val="12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3">
    <w:name w:val="样式 121 小三"/>
    <w:next w:val="12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4">
    <w:name w:val="样式 122 小三"/>
    <w:next w:val="13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5">
    <w:name w:val="样式 123 小三"/>
    <w:next w:val="13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6">
    <w:name w:val="样式 124 小三"/>
    <w:next w:val="13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7">
    <w:name w:val="样式 125 小三"/>
    <w:next w:val="13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8">
    <w:name w:val="样式 126 小三"/>
    <w:next w:val="13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9">
    <w:name w:val="样式 127 小三"/>
    <w:next w:val="13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0">
    <w:name w:val="样式 128 小三"/>
    <w:next w:val="13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1">
    <w:name w:val="样式 129 小三"/>
    <w:next w:val="13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2">
    <w:name w:val="样式 130 小三"/>
    <w:next w:val="13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3">
    <w:name w:val="样式 131 小三"/>
    <w:next w:val="13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4">
    <w:name w:val="样式 132 小三"/>
    <w:next w:val="14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5">
    <w:name w:val="样式 133 小三"/>
    <w:next w:val="14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6">
    <w:name w:val="样式 134 小三"/>
    <w:next w:val="14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7">
    <w:name w:val="样式 135 小三"/>
    <w:next w:val="14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8">
    <w:name w:val="样式 136 小三"/>
    <w:next w:val="14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9">
    <w:name w:val="样式 137 小三"/>
    <w:next w:val="14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0">
    <w:name w:val="样式 138 小三"/>
    <w:next w:val="14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1">
    <w:name w:val="样式 139 小三"/>
    <w:next w:val="14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2">
    <w:name w:val="样式 140 小三"/>
    <w:next w:val="14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3">
    <w:name w:val="样式 141 小三"/>
    <w:next w:val="14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4">
    <w:name w:val="样式 142 小三"/>
    <w:next w:val="15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5">
    <w:name w:val="样式 143 小三"/>
    <w:next w:val="15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6">
    <w:name w:val="样式 144 小三"/>
    <w:next w:val="15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7">
    <w:name w:val="样式 145 小三"/>
    <w:next w:val="15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8">
    <w:name w:val="样式 146 小三"/>
    <w:next w:val="15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9">
    <w:name w:val="样式 147 小三"/>
    <w:next w:val="15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0">
    <w:name w:val="样式 148 小三"/>
    <w:next w:val="15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1">
    <w:name w:val="样式 149 小三"/>
    <w:next w:val="15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2">
    <w:name w:val="样式 150 小三"/>
    <w:next w:val="15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3">
    <w:name w:val="样式 151 小三"/>
    <w:next w:val="15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4">
    <w:name w:val="样式 152 小三"/>
    <w:next w:val="16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5">
    <w:name w:val="样式 153 小三"/>
    <w:next w:val="16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6">
    <w:name w:val="样式 154 小三"/>
    <w:next w:val="16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7">
    <w:name w:val="样式 155 小三"/>
    <w:next w:val="16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8">
    <w:name w:val="样式 156 小三"/>
    <w:next w:val="16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9">
    <w:name w:val="样式 157 小三"/>
    <w:next w:val="16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0">
    <w:name w:val="样式 158 小三"/>
    <w:next w:val="16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1">
    <w:name w:val="样式 159 小三"/>
    <w:next w:val="16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2">
    <w:name w:val="样式 160 小三"/>
    <w:next w:val="16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3">
    <w:name w:val="样式 161 小三"/>
    <w:next w:val="16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4">
    <w:name w:val="样式 162 小三"/>
    <w:next w:val="17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5">
    <w:name w:val="样式 163 小三"/>
    <w:next w:val="17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6">
    <w:name w:val="样式 164 小三"/>
    <w:next w:val="17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7">
    <w:name w:val="样式 165 小三"/>
    <w:next w:val="17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8">
    <w:name w:val="样式 166 小三"/>
    <w:next w:val="17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9">
    <w:name w:val="样式 167 小三"/>
    <w:next w:val="17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0">
    <w:name w:val="样式 168 小三"/>
    <w:next w:val="17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1">
    <w:name w:val="样式 169 小三"/>
    <w:next w:val="17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2">
    <w:name w:val="样式 170 小三"/>
    <w:next w:val="17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3">
    <w:name w:val="样式 171 小三"/>
    <w:next w:val="17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4">
    <w:name w:val="样式 172 小三"/>
    <w:next w:val="18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5">
    <w:name w:val="样式 173 小三"/>
    <w:next w:val="18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6">
    <w:name w:val="样式 174 小三"/>
    <w:next w:val="18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7">
    <w:name w:val="样式 175 小三"/>
    <w:next w:val="18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8">
    <w:name w:val="样式 176 小三"/>
    <w:next w:val="18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9">
    <w:name w:val="样式 177 小三"/>
    <w:next w:val="18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0">
    <w:name w:val="样式 178 小三"/>
    <w:next w:val="18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1">
    <w:name w:val="样式 179 小三"/>
    <w:next w:val="18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2">
    <w:name w:val="样式 180 小三"/>
    <w:next w:val="18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3">
    <w:name w:val="样式 181 小三"/>
    <w:next w:val="18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4">
    <w:name w:val="样式 182 小三"/>
    <w:next w:val="19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5">
    <w:name w:val="样式 183 小三"/>
    <w:next w:val="19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6">
    <w:name w:val="样式 184 小三"/>
    <w:next w:val="19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7">
    <w:name w:val="样式 185 小三"/>
    <w:next w:val="19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8">
    <w:name w:val="样式 186 小三"/>
    <w:next w:val="19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9">
    <w:name w:val="样式 187 小三"/>
    <w:next w:val="19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0">
    <w:name w:val="样式 188 小三"/>
    <w:next w:val="19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1">
    <w:name w:val="样式 189 小三"/>
    <w:next w:val="19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2">
    <w:name w:val="样式 190 小三"/>
    <w:next w:val="19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3">
    <w:name w:val="样式 191 小三"/>
    <w:next w:val="19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4">
    <w:name w:val="样式 192 小三"/>
    <w:next w:val="20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5">
    <w:name w:val="样式 193 小三"/>
    <w:next w:val="20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6">
    <w:name w:val="样式 194 小三"/>
    <w:next w:val="20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7">
    <w:name w:val="样式 195 小三"/>
    <w:next w:val="20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8">
    <w:name w:val="样式 8 三号"/>
    <w:next w:val="22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309">
    <w:name w:val="样式 11 三号"/>
    <w:next w:val="207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310">
    <w:name w:val="样式 13 三号"/>
    <w:next w:val="17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311">
    <w:name w:val="样式 10 磅"/>
    <w:next w:val="19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560" w:lineRule="exact"/>
      <w:ind w:left="0" w:right="0" w:firstLine="0"/>
      <w:contextualSpacing w:val="0"/>
      <w:jc w:val="center"/>
      <w:textAlignment w:val="auto"/>
      <w:outlineLvl w:val="9"/>
    </w:pPr>
    <w:rPr>
      <w:rFonts w:ascii="Calibri" w:eastAsia="宋体" w:cs="Mongolian Baiti" w:hAnsi="Calibri"/>
      <w:snapToGrid/>
      <w:color w:val="auto"/>
      <w:spacing w:val="0"/>
      <w:w w:val="100"/>
      <w:kern w:val="2"/>
      <w:position w:val="0"/>
      <w:sz w:val="21"/>
      <w:szCs w:val="28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312">
    <w:name w:val="样式 1 三号"/>
    <w:next w:val="19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13">
    <w:name w:val="样式 14 三号"/>
    <w:next w:val="74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14">
    <w:name w:val="样式 小四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 w:cs="Times New Roman"/>
      <w:snapToGrid/>
      <w:color w:val="auto"/>
      <w:spacing w:val="0"/>
      <w:w w:val="100"/>
      <w:kern w:val="2"/>
      <w:position w:val="0"/>
      <w:sz w:val="24"/>
      <w:szCs w:val="20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315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16">
    <w:name w:val="样式 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227</TotalTime>
  <Application>Yozo_Office</Application>
  <Pages>1</Pages>
  <Words>28</Words>
  <Characters>28</Characters>
  <Lines>1</Lines>
  <Paragraphs>0</Paragraphs>
  <CharactersWithSpaces>28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李紫萌</dc:creator>
  <cp:lastModifiedBy>闫琨</cp:lastModifiedBy>
  <cp:revision>1</cp:revision>
  <dcterms:created xsi:type="dcterms:W3CDTF">2025-01-23T02:57:59Z</dcterms:created>
  <dcterms:modified xsi:type="dcterms:W3CDTF">2026-03-27T08:09:00Z</dcterms:modified>
</cp:coreProperties>
</file>